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A9719" w14:textId="77777777" w:rsidR="005F3B24" w:rsidRPr="00FD6C04" w:rsidRDefault="005F3B24" w:rsidP="005F3B24">
      <w:pPr>
        <w:pStyle w:val="NormalWeb"/>
        <w:jc w:val="both"/>
        <w:rPr>
          <w:rFonts w:ascii="Arial" w:hAnsi="Arial" w:cs="Arial"/>
          <w:sz w:val="22"/>
          <w:szCs w:val="22"/>
        </w:rPr>
      </w:pPr>
      <w:r w:rsidRPr="00FD6C04">
        <w:rPr>
          <w:rStyle w:val="Fuerte"/>
          <w:rFonts w:ascii="Arial" w:hAnsi="Arial" w:cs="Arial"/>
          <w:sz w:val="22"/>
          <w:szCs w:val="22"/>
        </w:rPr>
        <w:t>ASUNTO:</w:t>
      </w:r>
      <w:r w:rsidRPr="00FD6C04">
        <w:rPr>
          <w:rFonts w:ascii="Arial" w:hAnsi="Arial" w:cs="Arial"/>
          <w:sz w:val="22"/>
          <w:szCs w:val="22"/>
        </w:rPr>
        <w:t xml:space="preserve"> Respuesta comunicación interna radicado No. 3-2026-03380 del 05 de mayo de 2026 - Solicitud de cumplimiento de fallo judicial – LUIS RODOLFO ROMERO BAREÑO C.C 79.120.441</w:t>
      </w:r>
    </w:p>
    <w:p w14:paraId="10D39797" w14:textId="77777777" w:rsidR="005F3B24" w:rsidRPr="00FD6C04" w:rsidRDefault="005F3B24" w:rsidP="005F3B24">
      <w:pPr>
        <w:pStyle w:val="NormalWeb"/>
        <w:rPr>
          <w:rFonts w:ascii="Arial" w:hAnsi="Arial" w:cs="Arial"/>
          <w:sz w:val="22"/>
          <w:szCs w:val="22"/>
        </w:rPr>
      </w:pPr>
      <w:r w:rsidRPr="00FD6C04">
        <w:rPr>
          <w:rFonts w:ascii="Arial" w:hAnsi="Arial" w:cs="Arial"/>
          <w:sz w:val="22"/>
          <w:szCs w:val="22"/>
        </w:rPr>
        <w:t>Respetado Doctor Hugo:</w:t>
      </w:r>
    </w:p>
    <w:p w14:paraId="206B38D9" w14:textId="2BC9012B" w:rsidR="005F3B24" w:rsidRPr="002C5847" w:rsidRDefault="005F3B24" w:rsidP="005F3B24">
      <w:pPr>
        <w:pStyle w:val="NormalWeb"/>
        <w:jc w:val="both"/>
        <w:rPr>
          <w:rFonts w:ascii="Arial" w:hAnsi="Arial" w:cs="Arial"/>
          <w:sz w:val="22"/>
          <w:szCs w:val="22"/>
        </w:rPr>
      </w:pPr>
      <w:r w:rsidRPr="002C5847">
        <w:rPr>
          <w:rFonts w:ascii="Arial" w:hAnsi="Arial" w:cs="Arial"/>
          <w:sz w:val="22"/>
          <w:szCs w:val="22"/>
        </w:rPr>
        <w:t>En atención a la comunicación interna radicada bajo el No. 3-2026-03380 del 05 de mayo de 2026, mediante la cual la Gerencia de Pensiones solicita indicar cuales “</w:t>
      </w:r>
      <w:r w:rsidRPr="002C5847">
        <w:rPr>
          <w:rFonts w:ascii="Arial" w:hAnsi="Arial" w:cs="Arial"/>
          <w:i/>
          <w:iCs/>
          <w:sz w:val="22"/>
          <w:szCs w:val="22"/>
        </w:rPr>
        <w:t>son las acciones legales pertinentes que emprenderá la defensa judicial de la entidad frente al presente caso, si es factible que se intervenga en el proceso de reconstrucción ante el órgano judicial o si por el contrario es procedente dar cumplimiento a la orden incluso sin existir comprobación de la misma, con el insumo existente en el expediente pensional”</w:t>
      </w:r>
      <w:r w:rsidR="00A5582E">
        <w:rPr>
          <w:rFonts w:ascii="Arial" w:hAnsi="Arial" w:cs="Arial"/>
          <w:i/>
          <w:iCs/>
          <w:sz w:val="22"/>
          <w:szCs w:val="22"/>
        </w:rPr>
        <w:t>,</w:t>
      </w:r>
      <w:r w:rsidRPr="002C5847">
        <w:rPr>
          <w:rFonts w:ascii="Arial" w:hAnsi="Arial" w:cs="Arial"/>
          <w:i/>
          <w:iCs/>
          <w:sz w:val="22"/>
          <w:szCs w:val="22"/>
        </w:rPr>
        <w:t xml:space="preserve"> </w:t>
      </w:r>
      <w:r w:rsidRPr="002C5847">
        <w:rPr>
          <w:rFonts w:ascii="Arial" w:hAnsi="Arial" w:cs="Arial"/>
          <w:sz w:val="22"/>
          <w:szCs w:val="22"/>
        </w:rPr>
        <w:t>esta Subdirección se permite manifestar lo siguiente:</w:t>
      </w:r>
    </w:p>
    <w:p w14:paraId="4C70B120" w14:textId="0CC86E07" w:rsidR="005F3B24" w:rsidRPr="002C5847" w:rsidRDefault="005F3B24" w:rsidP="005F3B24">
      <w:pPr>
        <w:pStyle w:val="NormalWeb"/>
        <w:jc w:val="both"/>
        <w:rPr>
          <w:rFonts w:ascii="Arial" w:hAnsi="Arial" w:cs="Arial"/>
          <w:sz w:val="22"/>
          <w:szCs w:val="22"/>
        </w:rPr>
      </w:pPr>
      <w:r w:rsidRPr="002C5847">
        <w:rPr>
          <w:rFonts w:ascii="Arial" w:hAnsi="Arial" w:cs="Arial"/>
          <w:sz w:val="22"/>
          <w:szCs w:val="22"/>
        </w:rPr>
        <w:t xml:space="preserve">En primer lugar, resulta pertinente reiterar que la Subdirección Jurídica </w:t>
      </w:r>
      <w:r w:rsidR="00944575">
        <w:rPr>
          <w:rFonts w:ascii="Arial" w:hAnsi="Arial" w:cs="Arial"/>
          <w:sz w:val="22"/>
          <w:szCs w:val="22"/>
        </w:rPr>
        <w:t xml:space="preserve">adelantó </w:t>
      </w:r>
      <w:r w:rsidRPr="002C5847">
        <w:rPr>
          <w:rFonts w:ascii="Arial" w:hAnsi="Arial" w:cs="Arial"/>
          <w:sz w:val="22"/>
          <w:szCs w:val="22"/>
        </w:rPr>
        <w:t>todas las actuaciones administrativas y judiciales tendientes a obtener las copias de las providencias judiciales y verificar la autenticidad, legalidad y ejecutoria de las sentencias aportadas con la solicitud de cumplimiento radicada bajo el id 1-2025-21921 del 28 de agosto de 2025, tal como fue informado mediante comunicación interna con radicado No. 3-2026-03228 del 28 de abril de 2026.</w:t>
      </w:r>
    </w:p>
    <w:p w14:paraId="1A47FFBB" w14:textId="54725D72" w:rsidR="005F3B24" w:rsidRPr="002C5847" w:rsidRDefault="00A22E2F" w:rsidP="005F3B24">
      <w:pPr>
        <w:pStyle w:val="NormalWeb"/>
        <w:jc w:val="both"/>
        <w:rPr>
          <w:rFonts w:ascii="Arial" w:hAnsi="Arial" w:cs="Arial"/>
          <w:sz w:val="22"/>
          <w:szCs w:val="22"/>
        </w:rPr>
      </w:pPr>
      <w:r>
        <w:rPr>
          <w:rFonts w:ascii="Arial" w:hAnsi="Arial" w:cs="Arial"/>
          <w:sz w:val="22"/>
          <w:szCs w:val="22"/>
        </w:rPr>
        <w:t>Sin embargo</w:t>
      </w:r>
      <w:r w:rsidR="005F3B24" w:rsidRPr="002C5847">
        <w:rPr>
          <w:rFonts w:ascii="Arial" w:hAnsi="Arial" w:cs="Arial"/>
          <w:sz w:val="22"/>
          <w:szCs w:val="22"/>
        </w:rPr>
        <w:t xml:space="preserve">, pese a las gestiones adelantadas ante las autoridades judiciales competentes, no </w:t>
      </w:r>
      <w:r w:rsidR="003553EF">
        <w:rPr>
          <w:rFonts w:ascii="Arial" w:hAnsi="Arial" w:cs="Arial"/>
          <w:sz w:val="22"/>
          <w:szCs w:val="22"/>
        </w:rPr>
        <w:t>ha sido</w:t>
      </w:r>
      <w:r w:rsidR="005F3B24" w:rsidRPr="002C5847">
        <w:rPr>
          <w:rFonts w:ascii="Arial" w:hAnsi="Arial" w:cs="Arial"/>
          <w:sz w:val="22"/>
          <w:szCs w:val="22"/>
        </w:rPr>
        <w:t xml:space="preserve"> posible obtener elementos adicionales que permitan corroborar plenamente la autenticidad y estado procesal de las providencias allegadas, razón por la cual se remitió el asunto a la Gerencia de Pensiones con el fin de que, en el marco de sus competencias funcionales, se adoptara la decisión correspondiente frente a la solicitud de cumplimiento.</w:t>
      </w:r>
    </w:p>
    <w:p w14:paraId="599CCC07" w14:textId="77777777" w:rsidR="007F72D1" w:rsidRDefault="005F3B24" w:rsidP="005F3B24">
      <w:pPr>
        <w:pStyle w:val="NormalWeb"/>
        <w:jc w:val="both"/>
        <w:rPr>
          <w:rFonts w:ascii="Arial" w:hAnsi="Arial" w:cs="Arial"/>
          <w:sz w:val="22"/>
          <w:szCs w:val="22"/>
        </w:rPr>
      </w:pPr>
      <w:r w:rsidRPr="002C5847">
        <w:rPr>
          <w:rFonts w:ascii="Arial" w:hAnsi="Arial" w:cs="Arial"/>
          <w:sz w:val="22"/>
          <w:szCs w:val="22"/>
        </w:rPr>
        <w:t>Sobre el particular, es preciso señalar que, de conformidad con el artículo 4 del Acuerdo de Junta Directiva 13 de 2007, corresponde a la Gerencia de Pensiones, entre otras</w:t>
      </w:r>
      <w:r w:rsidR="007F72D1">
        <w:rPr>
          <w:rFonts w:ascii="Arial" w:hAnsi="Arial" w:cs="Arial"/>
          <w:sz w:val="22"/>
          <w:szCs w:val="22"/>
        </w:rPr>
        <w:t>, las siguientes</w:t>
      </w:r>
      <w:r w:rsidRPr="002C5847">
        <w:rPr>
          <w:rFonts w:ascii="Arial" w:hAnsi="Arial" w:cs="Arial"/>
          <w:sz w:val="22"/>
          <w:szCs w:val="22"/>
        </w:rPr>
        <w:t xml:space="preserve"> funciones: </w:t>
      </w:r>
      <w:r w:rsidRPr="002C5847">
        <w:rPr>
          <w:rStyle w:val="Fuerte"/>
          <w:rFonts w:ascii="Arial" w:hAnsi="Arial" w:cs="Arial"/>
          <w:b w:val="0"/>
          <w:bCs w:val="0"/>
          <w:sz w:val="22"/>
          <w:szCs w:val="22"/>
        </w:rPr>
        <w:t>“coordinar y controlar los procesos de sustanciación y reconocimiento de las obligaciones pensionales”</w:t>
      </w:r>
      <w:r w:rsidRPr="002C5847">
        <w:rPr>
          <w:rFonts w:ascii="Arial" w:hAnsi="Arial" w:cs="Arial"/>
          <w:b/>
          <w:bCs/>
          <w:sz w:val="22"/>
          <w:szCs w:val="22"/>
        </w:rPr>
        <w:t>,</w:t>
      </w:r>
      <w:r w:rsidRPr="002C5847">
        <w:rPr>
          <w:rFonts w:ascii="Arial" w:hAnsi="Arial" w:cs="Arial"/>
          <w:sz w:val="22"/>
          <w:szCs w:val="22"/>
        </w:rPr>
        <w:t xml:space="preserve"> así como </w:t>
      </w:r>
      <w:r w:rsidRPr="002C5847">
        <w:rPr>
          <w:rStyle w:val="Fuerte"/>
          <w:rFonts w:ascii="Arial" w:hAnsi="Arial" w:cs="Arial"/>
          <w:b w:val="0"/>
          <w:bCs w:val="0"/>
          <w:sz w:val="22"/>
          <w:szCs w:val="22"/>
        </w:rPr>
        <w:t>“controlar el cumplimiento de fallos de procesos judiciales y acciones de tutela, en virtud de los cuales se impongan condenas en contra del FONCEP”</w:t>
      </w:r>
      <w:r w:rsidRPr="002C5847">
        <w:rPr>
          <w:rFonts w:ascii="Arial" w:hAnsi="Arial" w:cs="Arial"/>
          <w:sz w:val="22"/>
          <w:szCs w:val="22"/>
        </w:rPr>
        <w:t>.</w:t>
      </w:r>
    </w:p>
    <w:p w14:paraId="572A5A03" w14:textId="6F4BFFE8" w:rsidR="005F3B24" w:rsidRPr="002C5847" w:rsidRDefault="005F3B24" w:rsidP="005F3B24">
      <w:pPr>
        <w:pStyle w:val="NormalWeb"/>
        <w:jc w:val="both"/>
        <w:rPr>
          <w:rFonts w:ascii="Arial" w:hAnsi="Arial" w:cs="Arial"/>
          <w:sz w:val="22"/>
          <w:szCs w:val="22"/>
        </w:rPr>
      </w:pPr>
      <w:r w:rsidRPr="002C5847">
        <w:rPr>
          <w:rFonts w:ascii="Arial" w:hAnsi="Arial" w:cs="Arial"/>
          <w:sz w:val="22"/>
          <w:szCs w:val="22"/>
        </w:rPr>
        <w:t>En ese sentido, dicha dependencia es la competente para analizar integralmente los documentos obrantes en el expediente pensional y adoptar la determinación administrativa correspondiente respecto de la procedencia o improcedencia del cumplimiento solicitado.</w:t>
      </w:r>
    </w:p>
    <w:p w14:paraId="0ECBFDF5" w14:textId="77777777" w:rsidR="005F3B24" w:rsidRPr="002C5847" w:rsidRDefault="005F3B24" w:rsidP="005F3B24">
      <w:pPr>
        <w:pStyle w:val="NormalWeb"/>
        <w:jc w:val="both"/>
        <w:rPr>
          <w:rFonts w:ascii="Arial" w:hAnsi="Arial" w:cs="Arial"/>
          <w:sz w:val="22"/>
          <w:szCs w:val="22"/>
        </w:rPr>
      </w:pPr>
      <w:r w:rsidRPr="002C5847">
        <w:rPr>
          <w:rFonts w:ascii="Arial" w:hAnsi="Arial" w:cs="Arial"/>
          <w:sz w:val="22"/>
          <w:szCs w:val="22"/>
        </w:rPr>
        <w:t>Así las cosas, si bien esta Subdirección Jurídica presta acompañamiento y asesoría jurídica en asuntos litigiosos y adelantó las gestiones tendientes a la obtención de soportes judiciales, no le corresponde sustituir la competencia funcional asignada a la Gerencia de Pensiones frente al análisis material del reconocimiento prestacional y el cumplimiento de decisiones judiciales, especialmente cuando existen elementos documentales incorporados al expediente administrativo que deben ser valorados por el área misional.</w:t>
      </w:r>
    </w:p>
    <w:p w14:paraId="5500BD7D" w14:textId="45C3DF5C" w:rsidR="002C5847" w:rsidRPr="002C5847" w:rsidRDefault="002C5847" w:rsidP="002C5847">
      <w:pPr>
        <w:pStyle w:val="NormalWeb"/>
        <w:jc w:val="both"/>
        <w:rPr>
          <w:rFonts w:ascii="Arial" w:hAnsi="Arial" w:cs="Arial"/>
          <w:sz w:val="22"/>
          <w:szCs w:val="22"/>
        </w:rPr>
      </w:pPr>
      <w:r w:rsidRPr="002C5847">
        <w:rPr>
          <w:rFonts w:ascii="Arial" w:hAnsi="Arial" w:cs="Arial"/>
          <w:sz w:val="22"/>
          <w:szCs w:val="22"/>
        </w:rPr>
        <w:t xml:space="preserve">No obstante lo anterior, </w:t>
      </w:r>
      <w:r w:rsidR="00A22E2F">
        <w:rPr>
          <w:rFonts w:ascii="Arial" w:hAnsi="Arial" w:cs="Arial"/>
          <w:sz w:val="22"/>
          <w:szCs w:val="22"/>
        </w:rPr>
        <w:t>la</w:t>
      </w:r>
      <w:r w:rsidRPr="002C5847">
        <w:rPr>
          <w:rFonts w:ascii="Arial" w:hAnsi="Arial" w:cs="Arial"/>
          <w:sz w:val="22"/>
          <w:szCs w:val="22"/>
        </w:rPr>
        <w:t xml:space="preserve"> Subdirección Jurídica </w:t>
      </w:r>
      <w:r w:rsidR="007F72D1">
        <w:rPr>
          <w:rFonts w:ascii="Arial" w:hAnsi="Arial" w:cs="Arial"/>
          <w:sz w:val="22"/>
          <w:szCs w:val="22"/>
        </w:rPr>
        <w:t xml:space="preserve">ha solicitado a la firma encargada de la representación judicial de la entidad, llevar acabo el </w:t>
      </w:r>
      <w:r w:rsidRPr="002C5847">
        <w:rPr>
          <w:rFonts w:ascii="Arial" w:hAnsi="Arial" w:cs="Arial"/>
          <w:sz w:val="22"/>
          <w:szCs w:val="22"/>
        </w:rPr>
        <w:t>trámite de reconstrucción de expediente, en los términos señalados en el artículo 126 del Código General del Proceso.</w:t>
      </w:r>
    </w:p>
    <w:p w14:paraId="4F340B29" w14:textId="50D1E9AC" w:rsidR="005F3B24" w:rsidRPr="002C5847" w:rsidRDefault="005F3B24" w:rsidP="005F3B24">
      <w:pPr>
        <w:pStyle w:val="NormalWeb"/>
        <w:jc w:val="both"/>
        <w:rPr>
          <w:rFonts w:ascii="Arial" w:hAnsi="Arial" w:cs="Arial"/>
          <w:sz w:val="22"/>
          <w:szCs w:val="22"/>
        </w:rPr>
      </w:pPr>
      <w:r w:rsidRPr="002C5847">
        <w:rPr>
          <w:rFonts w:ascii="Arial" w:hAnsi="Arial" w:cs="Arial"/>
          <w:sz w:val="22"/>
          <w:szCs w:val="22"/>
        </w:rPr>
        <w:lastRenderedPageBreak/>
        <w:t>Sin perjuicio de lo</w:t>
      </w:r>
      <w:r w:rsidR="002C5847">
        <w:rPr>
          <w:rFonts w:ascii="Arial" w:hAnsi="Arial" w:cs="Arial"/>
          <w:sz w:val="22"/>
          <w:szCs w:val="22"/>
        </w:rPr>
        <w:t xml:space="preserve"> expuesto</w:t>
      </w:r>
      <w:r w:rsidRPr="002C5847">
        <w:rPr>
          <w:rFonts w:ascii="Arial" w:hAnsi="Arial" w:cs="Arial"/>
          <w:sz w:val="22"/>
          <w:szCs w:val="22"/>
        </w:rPr>
        <w:t>, esta Subdirección Jurídica permanece atenta a brindar el acompañamiento jurídico que se requiera frente a actuaciones judiciales adicionales que la Gerencia de Pensiones considere necesario promover, conforme a la evaluación del caso concreto.</w:t>
      </w:r>
    </w:p>
    <w:p w14:paraId="1A9D139D" w14:textId="77777777" w:rsidR="005F3B24" w:rsidRPr="002C5847" w:rsidRDefault="005F3B24" w:rsidP="005F3B24">
      <w:pPr>
        <w:pStyle w:val="NormalWeb"/>
        <w:rPr>
          <w:rFonts w:ascii="Arial" w:hAnsi="Arial" w:cs="Arial"/>
          <w:sz w:val="22"/>
          <w:szCs w:val="22"/>
        </w:rPr>
      </w:pPr>
      <w:r w:rsidRPr="002C5847">
        <w:rPr>
          <w:rFonts w:ascii="Arial" w:hAnsi="Arial" w:cs="Arial"/>
          <w:sz w:val="22"/>
          <w:szCs w:val="22"/>
        </w:rPr>
        <w:t>Cordialmente,</w:t>
      </w:r>
    </w:p>
    <w:p w14:paraId="446D8A4D" w14:textId="6E91AC44" w:rsidR="00985909" w:rsidRPr="002C5847" w:rsidRDefault="00985909" w:rsidP="005F3B24">
      <w:pPr>
        <w:rPr>
          <w:rFonts w:ascii="Arial" w:hAnsi="Arial" w:cs="Arial"/>
        </w:rPr>
      </w:pPr>
    </w:p>
    <w:sectPr w:rsidR="00985909" w:rsidRPr="002C584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28E"/>
    <w:rsid w:val="00072E56"/>
    <w:rsid w:val="002C5847"/>
    <w:rsid w:val="003553EF"/>
    <w:rsid w:val="0053528E"/>
    <w:rsid w:val="005F3B24"/>
    <w:rsid w:val="00721CD9"/>
    <w:rsid w:val="007F72D1"/>
    <w:rsid w:val="00944575"/>
    <w:rsid w:val="00985909"/>
    <w:rsid w:val="00A01379"/>
    <w:rsid w:val="00A22E2F"/>
    <w:rsid w:val="00A5582E"/>
    <w:rsid w:val="00A57565"/>
    <w:rsid w:val="00AC582A"/>
    <w:rsid w:val="00B441C9"/>
    <w:rsid w:val="00C476E1"/>
    <w:rsid w:val="00D0799D"/>
    <w:rsid w:val="00FD6C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71C85"/>
  <w15:chartTrackingRefBased/>
  <w15:docId w15:val="{2B569FE5-79A3-4B48-8B41-392E5AD9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441C9"/>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Fuerte">
    <w:name w:val="Strong"/>
    <w:basedOn w:val="Fuentedeprrafopredeter"/>
    <w:uiPriority w:val="22"/>
    <w:qFormat/>
    <w:rsid w:val="00B441C9"/>
    <w:rPr>
      <w:b/>
      <w:bCs/>
    </w:rPr>
  </w:style>
  <w:style w:type="character" w:styleId="Refdecomentario">
    <w:name w:val="annotation reference"/>
    <w:basedOn w:val="Fuentedeprrafopredeter"/>
    <w:uiPriority w:val="99"/>
    <w:semiHidden/>
    <w:unhideWhenUsed/>
    <w:rsid w:val="00D0799D"/>
    <w:rPr>
      <w:sz w:val="16"/>
      <w:szCs w:val="16"/>
    </w:rPr>
  </w:style>
  <w:style w:type="paragraph" w:styleId="Textocomentario">
    <w:name w:val="annotation text"/>
    <w:basedOn w:val="Normal"/>
    <w:link w:val="TextocomentarioCar"/>
    <w:uiPriority w:val="99"/>
    <w:semiHidden/>
    <w:unhideWhenUsed/>
    <w:rsid w:val="00D0799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0799D"/>
    <w:rPr>
      <w:sz w:val="20"/>
      <w:szCs w:val="20"/>
    </w:rPr>
  </w:style>
  <w:style w:type="paragraph" w:styleId="Asuntodelcomentario">
    <w:name w:val="annotation subject"/>
    <w:basedOn w:val="Textocomentario"/>
    <w:next w:val="Textocomentario"/>
    <w:link w:val="AsuntodelcomentarioCar"/>
    <w:uiPriority w:val="99"/>
    <w:semiHidden/>
    <w:unhideWhenUsed/>
    <w:rsid w:val="00D0799D"/>
    <w:rPr>
      <w:b/>
      <w:bCs/>
    </w:rPr>
  </w:style>
  <w:style w:type="character" w:customStyle="1" w:styleId="AsuntodelcomentarioCar">
    <w:name w:val="Asunto del comentario Car"/>
    <w:basedOn w:val="TextocomentarioCar"/>
    <w:link w:val="Asuntodelcomentario"/>
    <w:uiPriority w:val="99"/>
    <w:semiHidden/>
    <w:rsid w:val="00D0799D"/>
    <w:rPr>
      <w:b/>
      <w:bCs/>
      <w:sz w:val="20"/>
      <w:szCs w:val="20"/>
    </w:rPr>
  </w:style>
  <w:style w:type="character" w:styleId="Hipervnculo">
    <w:name w:val="Hyperlink"/>
    <w:basedOn w:val="Fuentedeprrafopredeter"/>
    <w:uiPriority w:val="99"/>
    <w:unhideWhenUsed/>
    <w:rsid w:val="00D0799D"/>
    <w:rPr>
      <w:color w:val="0563C1" w:themeColor="hyperlink"/>
      <w:u w:val="single"/>
    </w:rPr>
  </w:style>
  <w:style w:type="character" w:styleId="Mencinsinresolver">
    <w:name w:val="Unresolved Mention"/>
    <w:basedOn w:val="Fuentedeprrafopredeter"/>
    <w:uiPriority w:val="99"/>
    <w:semiHidden/>
    <w:unhideWhenUsed/>
    <w:rsid w:val="00D07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63479">
      <w:bodyDiv w:val="1"/>
      <w:marLeft w:val="0"/>
      <w:marRight w:val="0"/>
      <w:marTop w:val="0"/>
      <w:marBottom w:val="0"/>
      <w:divBdr>
        <w:top w:val="none" w:sz="0" w:space="0" w:color="auto"/>
        <w:left w:val="none" w:sz="0" w:space="0" w:color="auto"/>
        <w:bottom w:val="none" w:sz="0" w:space="0" w:color="auto"/>
        <w:right w:val="none" w:sz="0" w:space="0" w:color="auto"/>
      </w:divBdr>
    </w:div>
    <w:div w:id="152744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97D7E9-1F75-490A-A34F-1925E8B897AD}"/>
</file>

<file path=customXml/itemProps2.xml><?xml version="1.0" encoding="utf-8"?>
<ds:datastoreItem xmlns:ds="http://schemas.openxmlformats.org/officeDocument/2006/customXml" ds:itemID="{847EBA68-0956-4DEA-B5C1-8CA418333444}"/>
</file>

<file path=customXml/itemProps3.xml><?xml version="1.0" encoding="utf-8"?>
<ds:datastoreItem xmlns:ds="http://schemas.openxmlformats.org/officeDocument/2006/customXml" ds:itemID="{2D75CE95-2ECF-4556-9B01-EA747E4F91BA}"/>
</file>

<file path=docProps/app.xml><?xml version="1.0" encoding="utf-8"?>
<Properties xmlns="http://schemas.openxmlformats.org/officeDocument/2006/extended-properties" xmlns:vt="http://schemas.openxmlformats.org/officeDocument/2006/docPropsVTypes">
  <Template>Normal.dotm</Template>
  <TotalTime>61</TotalTime>
  <Pages>2</Pages>
  <Words>539</Words>
  <Characters>2966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MERC</dc:creator>
  <cp:keywords/>
  <dc:description/>
  <cp:lastModifiedBy>María Paula Bahamón Sánchez</cp:lastModifiedBy>
  <cp:revision>10</cp:revision>
  <dcterms:created xsi:type="dcterms:W3CDTF">2026-05-26T17:46:00Z</dcterms:created>
  <dcterms:modified xsi:type="dcterms:W3CDTF">2026-05-29T20:10:00Z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